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884" w:rsidRDefault="003B0884" w:rsidP="003B0884">
      <w:pPr>
        <w:pStyle w:val="NoSpacing"/>
        <w:jc w:val="center"/>
        <w:rPr>
          <w:rFonts w:ascii="Bookman Old Style" w:hAnsi="Bookman Old Style"/>
          <w:sz w:val="24"/>
        </w:rPr>
      </w:pPr>
    </w:p>
    <w:p w:rsidR="003B0884" w:rsidRDefault="003B0884" w:rsidP="003B0884">
      <w:pPr>
        <w:pStyle w:val="NoSpacing"/>
        <w:jc w:val="center"/>
        <w:rPr>
          <w:rFonts w:ascii="Bookman Old Style" w:hAnsi="Bookman Old Style"/>
          <w:sz w:val="24"/>
        </w:rPr>
      </w:pPr>
    </w:p>
    <w:p w:rsidR="003B0884" w:rsidRDefault="003B0884" w:rsidP="003B0884">
      <w:pPr>
        <w:pStyle w:val="NoSpacing"/>
        <w:jc w:val="center"/>
        <w:rPr>
          <w:rFonts w:ascii="Bookman Old Style" w:hAnsi="Bookman Old Style"/>
          <w:sz w:val="24"/>
        </w:rPr>
      </w:pPr>
    </w:p>
    <w:p w:rsidR="003B0884" w:rsidRDefault="003B0884" w:rsidP="003B0884">
      <w:pPr>
        <w:pStyle w:val="NoSpacing"/>
        <w:jc w:val="center"/>
        <w:rPr>
          <w:rFonts w:ascii="Bookman Old Style" w:hAnsi="Bookman Old Style"/>
          <w:sz w:val="24"/>
        </w:rPr>
      </w:pPr>
    </w:p>
    <w:p w:rsidR="003B0884" w:rsidRDefault="003B0884" w:rsidP="003B0884">
      <w:pPr>
        <w:pStyle w:val="NoSpacing"/>
        <w:jc w:val="center"/>
        <w:rPr>
          <w:rFonts w:ascii="Bookman Old Style" w:hAnsi="Bookman Old Style"/>
          <w:sz w:val="24"/>
        </w:rPr>
      </w:pPr>
    </w:p>
    <w:p w:rsidR="003B0884" w:rsidRDefault="003B0884" w:rsidP="003B0884">
      <w:pPr>
        <w:pStyle w:val="NoSpacing"/>
        <w:jc w:val="center"/>
        <w:rPr>
          <w:rFonts w:ascii="Bookman Old Style" w:hAnsi="Bookman Old Style"/>
          <w:sz w:val="24"/>
        </w:rPr>
      </w:pPr>
    </w:p>
    <w:p w:rsidR="003B0884" w:rsidRDefault="003B0884" w:rsidP="003B0884">
      <w:pPr>
        <w:pStyle w:val="NoSpacing"/>
        <w:jc w:val="center"/>
        <w:rPr>
          <w:rFonts w:ascii="Bookman Old Style" w:hAnsi="Bookman Old Style"/>
          <w:sz w:val="24"/>
        </w:rPr>
      </w:pPr>
    </w:p>
    <w:p w:rsidR="003B0884" w:rsidRDefault="003B0884" w:rsidP="003B0884">
      <w:pPr>
        <w:pStyle w:val="NoSpacing"/>
        <w:jc w:val="center"/>
        <w:rPr>
          <w:rFonts w:ascii="Bookman Old Style" w:hAnsi="Bookman Old Style"/>
          <w:sz w:val="24"/>
        </w:rPr>
      </w:pPr>
    </w:p>
    <w:p w:rsidR="003B0884" w:rsidRDefault="003B0884" w:rsidP="003B0884">
      <w:pPr>
        <w:pStyle w:val="NoSpacing"/>
        <w:jc w:val="center"/>
        <w:rPr>
          <w:rFonts w:ascii="Bookman Old Style" w:hAnsi="Bookman Old Style"/>
          <w:sz w:val="24"/>
        </w:rPr>
      </w:pPr>
    </w:p>
    <w:p w:rsidR="003B0884" w:rsidRPr="003B0884" w:rsidRDefault="003B0884" w:rsidP="003B0884">
      <w:pPr>
        <w:pStyle w:val="NoSpacing"/>
        <w:jc w:val="center"/>
        <w:rPr>
          <w:rFonts w:ascii="Bookman Old Style" w:hAnsi="Bookman Old Style"/>
          <w:b/>
          <w:sz w:val="24"/>
        </w:rPr>
      </w:pPr>
    </w:p>
    <w:p w:rsidR="0007218D" w:rsidRPr="003B0884" w:rsidRDefault="00734F83" w:rsidP="003B0884">
      <w:pPr>
        <w:pStyle w:val="NoSpacing"/>
        <w:jc w:val="center"/>
        <w:rPr>
          <w:rFonts w:ascii="Bookman Old Style" w:hAnsi="Bookman Old Style"/>
          <w:b/>
          <w:sz w:val="24"/>
        </w:rPr>
      </w:pPr>
      <w:proofErr w:type="gramStart"/>
      <w:r w:rsidRPr="003B0884">
        <w:rPr>
          <w:rFonts w:ascii="Bookman Old Style" w:hAnsi="Bookman Old Style"/>
          <w:b/>
          <w:sz w:val="24"/>
        </w:rPr>
        <w:t>ASAD MUSTAFA SECURITIES (PVT.)</w:t>
      </w:r>
      <w:proofErr w:type="gramEnd"/>
      <w:r w:rsidRPr="003B0884">
        <w:rPr>
          <w:rFonts w:ascii="Bookman Old Style" w:hAnsi="Bookman Old Style"/>
          <w:b/>
          <w:sz w:val="24"/>
        </w:rPr>
        <w:t xml:space="preserve"> </w:t>
      </w:r>
      <w:proofErr w:type="gramStart"/>
      <w:r w:rsidRPr="003B0884">
        <w:rPr>
          <w:rFonts w:ascii="Bookman Old Style" w:hAnsi="Bookman Old Style"/>
          <w:b/>
          <w:sz w:val="24"/>
        </w:rPr>
        <w:t>LTD.</w:t>
      </w:r>
      <w:proofErr w:type="gramEnd"/>
    </w:p>
    <w:p w:rsidR="00734F83" w:rsidRPr="003B0884" w:rsidRDefault="00734F83" w:rsidP="003B0884">
      <w:pPr>
        <w:pStyle w:val="NoSpacing"/>
        <w:jc w:val="center"/>
        <w:rPr>
          <w:rFonts w:ascii="Bookman Old Style" w:hAnsi="Bookman Old Style"/>
          <w:b/>
          <w:sz w:val="24"/>
        </w:rPr>
      </w:pPr>
    </w:p>
    <w:p w:rsidR="003B0884" w:rsidRPr="003B0884" w:rsidRDefault="003B0884" w:rsidP="003B0884">
      <w:pPr>
        <w:pStyle w:val="NoSpacing"/>
        <w:jc w:val="center"/>
        <w:rPr>
          <w:rFonts w:ascii="Bookman Old Style" w:hAnsi="Bookman Old Style"/>
          <w:b/>
          <w:sz w:val="24"/>
        </w:rPr>
      </w:pPr>
      <w:r w:rsidRPr="003B0884">
        <w:rPr>
          <w:rFonts w:ascii="Bookman Old Style" w:hAnsi="Bookman Old Style"/>
          <w:b/>
          <w:sz w:val="24"/>
        </w:rPr>
        <w:t>Customer Complaint Policy &amp; Procedure</w:t>
      </w: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bookmarkStart w:id="0" w:name="_GoBack"/>
      <w:bookmarkEnd w:id="0"/>
    </w:p>
    <w:p w:rsidR="00734F83" w:rsidRDefault="00734F83" w:rsidP="003B0884">
      <w:pPr>
        <w:pStyle w:val="NoSpacing"/>
        <w:jc w:val="both"/>
        <w:rPr>
          <w:rFonts w:ascii="Bookman Old Style" w:hAnsi="Bookman Old Style"/>
          <w:sz w:val="24"/>
        </w:rPr>
      </w:pPr>
    </w:p>
    <w:p w:rsidR="00734F83" w:rsidRDefault="00734F83" w:rsidP="003B0884">
      <w:pPr>
        <w:pStyle w:val="NoSpacing"/>
        <w:jc w:val="both"/>
        <w:rPr>
          <w:rFonts w:ascii="Bookman Old Style" w:hAnsi="Bookman Old Style"/>
          <w:sz w:val="24"/>
        </w:rPr>
      </w:pPr>
    </w:p>
    <w:p w:rsidR="00734F83" w:rsidRPr="00734F83" w:rsidRDefault="00734F83" w:rsidP="003B0884">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The SECP plays a facilitating role by taking up complaints with the respective insurers, policy holders, investors and brokers. If you feel a need to make a complaint this page explains how we process and deal with your grievance.</w:t>
      </w:r>
    </w:p>
    <w:p w:rsidR="00734F83" w:rsidRPr="00734F83" w:rsidRDefault="00734F83" w:rsidP="003B0884">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If the investors have any complaints regarding their investment, following information shall be useful in lodging the complaint. Please note that the information has been categorized in accordance with the type of investment.</w:t>
      </w:r>
    </w:p>
    <w:p w:rsidR="00734F83" w:rsidRPr="00734F83" w:rsidRDefault="00734F83" w:rsidP="003B0884">
      <w:pPr>
        <w:numPr>
          <w:ilvl w:val="0"/>
          <w:numId w:val="1"/>
        </w:numPr>
        <w:shd w:val="clear" w:color="auto" w:fill="FFFFFF"/>
        <w:spacing w:after="0" w:line="240" w:lineRule="auto"/>
        <w:ind w:left="450" w:right="450"/>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Brokerage House</w:t>
      </w:r>
    </w:p>
    <w:p w:rsidR="00734F83" w:rsidRPr="00734F83" w:rsidRDefault="00734F83" w:rsidP="003B0884">
      <w:pPr>
        <w:numPr>
          <w:ilvl w:val="0"/>
          <w:numId w:val="1"/>
        </w:numPr>
        <w:shd w:val="clear" w:color="auto" w:fill="FFFFFF"/>
        <w:spacing w:after="0" w:line="240" w:lineRule="auto"/>
        <w:ind w:left="450" w:right="450"/>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Insurance</w:t>
      </w:r>
    </w:p>
    <w:p w:rsidR="00734F83" w:rsidRPr="00734F83" w:rsidRDefault="00734F83" w:rsidP="003B0884">
      <w:pPr>
        <w:numPr>
          <w:ilvl w:val="0"/>
          <w:numId w:val="1"/>
        </w:numPr>
        <w:shd w:val="clear" w:color="auto" w:fill="FFFFFF"/>
        <w:spacing w:after="0" w:line="240" w:lineRule="auto"/>
        <w:ind w:left="450" w:right="450"/>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Mutual Fund/Pension Fund</w:t>
      </w:r>
    </w:p>
    <w:p w:rsidR="00734F83" w:rsidRPr="00734F83" w:rsidRDefault="00734F83" w:rsidP="003B0884">
      <w:pPr>
        <w:numPr>
          <w:ilvl w:val="0"/>
          <w:numId w:val="1"/>
        </w:numPr>
        <w:shd w:val="clear" w:color="auto" w:fill="FFFFFF"/>
        <w:spacing w:after="0" w:line="240" w:lineRule="auto"/>
        <w:ind w:left="450" w:right="450"/>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Leasing Company/Investment Bank</w:t>
      </w:r>
    </w:p>
    <w:p w:rsidR="00734F83" w:rsidRPr="00734F83" w:rsidRDefault="00734F83" w:rsidP="003B0884">
      <w:pPr>
        <w:numPr>
          <w:ilvl w:val="0"/>
          <w:numId w:val="1"/>
        </w:numPr>
        <w:shd w:val="clear" w:color="auto" w:fill="FFFFFF"/>
        <w:spacing w:after="0" w:line="240" w:lineRule="auto"/>
        <w:ind w:left="450" w:right="450"/>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SECP Service Desk for Online Complaint Registration</w:t>
      </w:r>
    </w:p>
    <w:p w:rsidR="00BA0611" w:rsidRDefault="00734F83" w:rsidP="00BA0611">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 </w:t>
      </w:r>
    </w:p>
    <w:p w:rsidR="00734F83" w:rsidRDefault="00734F83" w:rsidP="00BA0611">
      <w:pPr>
        <w:shd w:val="clear" w:color="auto" w:fill="FFFFFF"/>
        <w:spacing w:after="360" w:line="240" w:lineRule="auto"/>
        <w:jc w:val="center"/>
        <w:textAlignment w:val="baseline"/>
        <w:rPr>
          <w:rFonts w:ascii="Arial" w:eastAsia="Times New Roman" w:hAnsi="Arial" w:cs="Arial"/>
          <w:color w:val="3366FF"/>
          <w:sz w:val="38"/>
          <w:szCs w:val="38"/>
          <w:u w:val="single"/>
        </w:rPr>
      </w:pPr>
      <w:r w:rsidRPr="00734F83">
        <w:rPr>
          <w:rFonts w:ascii="Arial" w:eastAsia="Times New Roman" w:hAnsi="Arial" w:cs="Arial"/>
          <w:color w:val="3366FF"/>
          <w:sz w:val="38"/>
          <w:szCs w:val="38"/>
          <w:u w:val="single"/>
        </w:rPr>
        <w:t>Brokerage House</w:t>
      </w:r>
    </w:p>
    <w:p w:rsidR="00734F83" w:rsidRPr="00734F83" w:rsidRDefault="00734F83" w:rsidP="003B0884">
      <w:pPr>
        <w:shd w:val="clear" w:color="auto" w:fill="FFFFFF"/>
        <w:spacing w:after="0" w:line="240" w:lineRule="atLeast"/>
        <w:jc w:val="both"/>
        <w:textAlignment w:val="baseline"/>
        <w:outlineLvl w:val="2"/>
        <w:rPr>
          <w:rFonts w:ascii="Arial" w:eastAsia="Times New Roman" w:hAnsi="Arial" w:cs="Arial"/>
          <w:color w:val="404040"/>
          <w:sz w:val="37"/>
          <w:szCs w:val="37"/>
        </w:rPr>
      </w:pPr>
    </w:p>
    <w:p w:rsidR="00734F83" w:rsidRPr="00734F83" w:rsidRDefault="00734F83" w:rsidP="003B0884">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 xml:space="preserve">In case of any issue with the brokerage house/broker and/or agent, investors are advised to immediately lodge a complaint with their respective brokerage house and in case of </w:t>
      </w:r>
      <w:proofErr w:type="spellStart"/>
      <w:r w:rsidRPr="00734F83">
        <w:rPr>
          <w:rFonts w:ascii="Arial" w:eastAsia="Times New Roman" w:hAnsi="Arial" w:cs="Arial"/>
          <w:color w:val="444444"/>
          <w:sz w:val="24"/>
          <w:szCs w:val="24"/>
        </w:rPr>
        <w:t>non resolution</w:t>
      </w:r>
      <w:proofErr w:type="spellEnd"/>
      <w:r w:rsidRPr="00734F83">
        <w:rPr>
          <w:rFonts w:ascii="Arial" w:eastAsia="Times New Roman" w:hAnsi="Arial" w:cs="Arial"/>
          <w:color w:val="444444"/>
          <w:sz w:val="24"/>
          <w:szCs w:val="24"/>
        </w:rPr>
        <w:t xml:space="preserve"> report the same to the Exchange within 15 days of lodging the claim with the brokerage house/broker. Complaint Registration Forms are available on the respective websites of the Exchanges.</w:t>
      </w:r>
    </w:p>
    <w:p w:rsidR="00734F83" w:rsidRPr="00734F83" w:rsidRDefault="00734F83" w:rsidP="003B0884">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Please ensure that all claims are lodged in writing and receipt of the same has been attained from the brokerage house/broker.</w:t>
      </w:r>
    </w:p>
    <w:p w:rsidR="00734F83" w:rsidRPr="00734F83" w:rsidRDefault="00734F83" w:rsidP="003B0884">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In case of complaint against the Exchange and/or the broker/brokerage house the Investor Complaints Wing at the Securities and Exchange Commission of Pakistan can be approached at the following details:</w:t>
      </w:r>
    </w:p>
    <w:p w:rsidR="00734F83" w:rsidRPr="00734F83" w:rsidRDefault="00734F83" w:rsidP="003B0884">
      <w:pPr>
        <w:shd w:val="clear" w:color="auto" w:fill="FFFFFF"/>
        <w:spacing w:after="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NIC Building, 63 Jinnah Avenue, Islamabad, Pakistan</w:t>
      </w:r>
      <w:r w:rsidRPr="00734F83">
        <w:rPr>
          <w:rFonts w:ascii="Arial" w:eastAsia="Times New Roman" w:hAnsi="Arial" w:cs="Arial"/>
          <w:color w:val="444444"/>
          <w:sz w:val="24"/>
          <w:szCs w:val="24"/>
        </w:rPr>
        <w:br/>
        <w:t>Tel: 051-9207091-4, UAN: 111 117 327</w:t>
      </w:r>
      <w:r w:rsidRPr="00734F83">
        <w:rPr>
          <w:rFonts w:ascii="Arial" w:eastAsia="Times New Roman" w:hAnsi="Arial" w:cs="Arial"/>
          <w:color w:val="444444"/>
          <w:sz w:val="24"/>
          <w:szCs w:val="24"/>
        </w:rPr>
        <w:br/>
        <w:t>Fax: 051-9204915</w:t>
      </w:r>
      <w:r w:rsidRPr="00734F83">
        <w:rPr>
          <w:rFonts w:ascii="Arial" w:eastAsia="Times New Roman" w:hAnsi="Arial" w:cs="Arial"/>
          <w:color w:val="444444"/>
          <w:sz w:val="24"/>
          <w:szCs w:val="24"/>
        </w:rPr>
        <w:br/>
        <w:t>Website: </w:t>
      </w:r>
      <w:hyperlink r:id="rId8" w:history="1">
        <w:r w:rsidRPr="00734F83">
          <w:rPr>
            <w:rFonts w:ascii="Arial" w:eastAsia="Times New Roman" w:hAnsi="Arial" w:cs="Arial"/>
            <w:color w:val="C2C1C1"/>
            <w:sz w:val="24"/>
            <w:szCs w:val="24"/>
            <w:u w:val="single"/>
          </w:rPr>
          <w:t>www.secp.gov.pk</w:t>
        </w:r>
      </w:hyperlink>
      <w:r w:rsidRPr="00734F83">
        <w:rPr>
          <w:rFonts w:ascii="Arial" w:eastAsia="Times New Roman" w:hAnsi="Arial" w:cs="Arial"/>
          <w:color w:val="444444"/>
          <w:sz w:val="24"/>
          <w:szCs w:val="24"/>
        </w:rPr>
        <w:br/>
        <w:t>e-mail: </w:t>
      </w:r>
      <w:hyperlink r:id="rId9" w:history="1">
        <w:r w:rsidRPr="00734F83">
          <w:rPr>
            <w:rFonts w:ascii="Arial" w:eastAsia="Times New Roman" w:hAnsi="Arial" w:cs="Arial"/>
            <w:color w:val="C2C1C1"/>
            <w:sz w:val="24"/>
            <w:szCs w:val="24"/>
            <w:u w:val="single"/>
          </w:rPr>
          <w:t>enquiries@secp.gov.pk</w:t>
        </w:r>
      </w:hyperlink>
    </w:p>
    <w:p w:rsidR="00734F83" w:rsidRPr="00734F83" w:rsidRDefault="00734F83" w:rsidP="003B0884">
      <w:pPr>
        <w:shd w:val="clear" w:color="auto" w:fill="FFFFFF"/>
        <w:spacing w:after="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Complaint Registration Form is available on the website of the Commission (</w:t>
      </w:r>
      <w:proofErr w:type="gramStart"/>
      <w:r w:rsidRPr="00734F83">
        <w:rPr>
          <w:rFonts w:ascii="Arial" w:eastAsia="Times New Roman" w:hAnsi="Arial" w:cs="Arial"/>
          <w:color w:val="444444"/>
          <w:sz w:val="24"/>
          <w:szCs w:val="24"/>
        </w:rPr>
        <w:t>,</w:t>
      </w:r>
      <w:proofErr w:type="spellStart"/>
      <w:r w:rsidRPr="00734F83">
        <w:rPr>
          <w:rFonts w:ascii="Arial" w:eastAsia="Times New Roman" w:hAnsi="Arial" w:cs="Arial"/>
          <w:color w:val="444444"/>
          <w:sz w:val="24"/>
          <w:szCs w:val="24"/>
        </w:rPr>
        <w:t>i.e</w:t>
      </w:r>
      <w:proofErr w:type="gramEnd"/>
      <w:r w:rsidRPr="00734F83">
        <w:rPr>
          <w:rFonts w:ascii="Arial" w:eastAsia="Times New Roman" w:hAnsi="Arial" w:cs="Arial"/>
          <w:color w:val="444444"/>
          <w:sz w:val="24"/>
          <w:szCs w:val="24"/>
        </w:rPr>
        <w:t>.,</w:t>
      </w:r>
      <w:hyperlink r:id="rId10" w:history="1">
        <w:r w:rsidRPr="00734F83">
          <w:rPr>
            <w:rFonts w:ascii="Arial" w:eastAsia="Times New Roman" w:hAnsi="Arial" w:cs="Arial"/>
            <w:color w:val="C2C1C1"/>
            <w:sz w:val="24"/>
            <w:szCs w:val="24"/>
            <w:u w:val="single"/>
          </w:rPr>
          <w:t>www.secp.gov.pk</w:t>
        </w:r>
        <w:proofErr w:type="spellEnd"/>
      </w:hyperlink>
      <w:r w:rsidRPr="00734F83">
        <w:rPr>
          <w:rFonts w:ascii="Arial" w:eastAsia="Times New Roman" w:hAnsi="Arial" w:cs="Arial"/>
          <w:color w:val="444444"/>
          <w:sz w:val="24"/>
          <w:szCs w:val="24"/>
        </w:rPr>
        <w:t>). Investors having complaint are required to fill</w:t>
      </w:r>
      <w:proofErr w:type="gramStart"/>
      <w:r w:rsidRPr="00734F83">
        <w:rPr>
          <w:rFonts w:ascii="Arial" w:eastAsia="Times New Roman" w:hAnsi="Arial" w:cs="Arial"/>
          <w:color w:val="444444"/>
          <w:sz w:val="24"/>
          <w:szCs w:val="24"/>
        </w:rPr>
        <w:t>  the</w:t>
      </w:r>
      <w:proofErr w:type="gramEnd"/>
      <w:r w:rsidRPr="00734F83">
        <w:rPr>
          <w:rFonts w:ascii="Arial" w:eastAsia="Times New Roman" w:hAnsi="Arial" w:cs="Arial"/>
          <w:color w:val="444444"/>
          <w:sz w:val="24"/>
          <w:szCs w:val="24"/>
        </w:rPr>
        <w:t xml:space="preserve"> form with  complete information and forward duly signed complaint registration form along </w:t>
      </w:r>
      <w:r w:rsidRPr="00734F83">
        <w:rPr>
          <w:rFonts w:ascii="Arial" w:eastAsia="Times New Roman" w:hAnsi="Arial" w:cs="Arial"/>
          <w:color w:val="444444"/>
          <w:sz w:val="24"/>
          <w:szCs w:val="24"/>
        </w:rPr>
        <w:lastRenderedPageBreak/>
        <w:t>with all necessary documents to the Commission’s address listed at the end of document.</w:t>
      </w:r>
    </w:p>
    <w:p w:rsidR="00734F83" w:rsidRPr="00734F83" w:rsidRDefault="00734F83" w:rsidP="003B0884">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The Complaint upon receipt shall be immediately acknowledged. If you do not receive acknowledgement even after 5 working days of your sending the complaint, ask for the status of complaint from Investor Complaints Wing at the Commission. You shall be informed about the status of complaint in a timely manner.</w:t>
      </w:r>
    </w:p>
    <w:p w:rsidR="00734F83" w:rsidRDefault="00734F83" w:rsidP="00BA0611">
      <w:pPr>
        <w:shd w:val="clear" w:color="auto" w:fill="FFFFFF"/>
        <w:spacing w:after="0" w:line="240" w:lineRule="atLeast"/>
        <w:jc w:val="center"/>
        <w:textAlignment w:val="baseline"/>
        <w:outlineLvl w:val="3"/>
        <w:rPr>
          <w:rFonts w:ascii="Arial" w:eastAsia="Times New Roman" w:hAnsi="Arial" w:cs="Arial"/>
          <w:color w:val="3366FF"/>
          <w:sz w:val="30"/>
          <w:szCs w:val="30"/>
          <w:u w:val="single"/>
        </w:rPr>
      </w:pPr>
      <w:r w:rsidRPr="00734F83">
        <w:rPr>
          <w:rFonts w:ascii="Arial" w:eastAsia="Times New Roman" w:hAnsi="Arial" w:cs="Arial"/>
          <w:color w:val="3366FF"/>
          <w:sz w:val="30"/>
          <w:szCs w:val="30"/>
          <w:u w:val="single"/>
        </w:rPr>
        <w:t xml:space="preserve">Client Broker Relationship </w:t>
      </w:r>
      <w:proofErr w:type="gramStart"/>
      <w:r w:rsidRPr="00734F83">
        <w:rPr>
          <w:rFonts w:ascii="Arial" w:eastAsia="Times New Roman" w:hAnsi="Arial" w:cs="Arial"/>
          <w:color w:val="3366FF"/>
          <w:sz w:val="30"/>
          <w:szCs w:val="30"/>
          <w:u w:val="single"/>
        </w:rPr>
        <w:t>And</w:t>
      </w:r>
      <w:proofErr w:type="gramEnd"/>
      <w:r w:rsidRPr="00734F83">
        <w:rPr>
          <w:rFonts w:ascii="Arial" w:eastAsia="Times New Roman" w:hAnsi="Arial" w:cs="Arial"/>
          <w:color w:val="3366FF"/>
          <w:sz w:val="30"/>
          <w:szCs w:val="30"/>
          <w:u w:val="single"/>
        </w:rPr>
        <w:t xml:space="preserve"> Arbitration Procedure</w:t>
      </w:r>
    </w:p>
    <w:p w:rsidR="00734F83" w:rsidRPr="00734F83" w:rsidRDefault="00734F83" w:rsidP="003B0884">
      <w:pPr>
        <w:shd w:val="clear" w:color="auto" w:fill="FFFFFF"/>
        <w:spacing w:after="0" w:line="240" w:lineRule="atLeast"/>
        <w:jc w:val="both"/>
        <w:textAlignment w:val="baseline"/>
        <w:outlineLvl w:val="3"/>
        <w:rPr>
          <w:rFonts w:ascii="Arial" w:eastAsia="Times New Roman" w:hAnsi="Arial" w:cs="Arial"/>
          <w:color w:val="404040"/>
          <w:sz w:val="30"/>
          <w:szCs w:val="30"/>
        </w:rPr>
      </w:pPr>
    </w:p>
    <w:p w:rsidR="00734F83" w:rsidRPr="00734F83" w:rsidRDefault="00734F83" w:rsidP="003B0884">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The r</w:t>
      </w:r>
      <w:r>
        <w:rPr>
          <w:rFonts w:ascii="Arial" w:eastAsia="Times New Roman" w:hAnsi="Arial" w:cs="Arial"/>
          <w:color w:val="444444"/>
          <w:sz w:val="24"/>
          <w:szCs w:val="24"/>
        </w:rPr>
        <w:t>eceipt of complaints enables PSX</w:t>
      </w:r>
      <w:r w:rsidRPr="00734F83">
        <w:rPr>
          <w:rFonts w:ascii="Arial" w:eastAsia="Times New Roman" w:hAnsi="Arial" w:cs="Arial"/>
          <w:color w:val="444444"/>
          <w:sz w:val="24"/>
          <w:szCs w:val="24"/>
        </w:rPr>
        <w:t xml:space="preserve"> to identify trading violations, which could impact investor confidence or affect fairness in the stock market. Using complaint information PSX can identify the weak areas in relevant regulations or in their compliance and make necessary arrangements for fixing the same.</w:t>
      </w:r>
    </w:p>
    <w:p w:rsidR="00734F83" w:rsidRPr="00734F83" w:rsidRDefault="00734F83" w:rsidP="003B0884">
      <w:pPr>
        <w:numPr>
          <w:ilvl w:val="1"/>
          <w:numId w:val="2"/>
        </w:numPr>
        <w:shd w:val="clear" w:color="auto" w:fill="FFFFFF"/>
        <w:spacing w:after="0" w:line="330" w:lineRule="atLeast"/>
        <w:ind w:left="900" w:right="900"/>
        <w:jc w:val="both"/>
        <w:textAlignment w:val="baseline"/>
        <w:rPr>
          <w:rFonts w:ascii="inherit" w:eastAsia="Times New Roman" w:hAnsi="inherit" w:cs="Arial"/>
          <w:color w:val="444444"/>
          <w:sz w:val="24"/>
          <w:szCs w:val="24"/>
        </w:rPr>
      </w:pPr>
      <w:r w:rsidRPr="00734F83">
        <w:rPr>
          <w:rFonts w:ascii="inherit" w:eastAsia="Times New Roman" w:hAnsi="inherit" w:cs="Arial"/>
          <w:b/>
          <w:bCs/>
          <w:color w:val="444444"/>
          <w:sz w:val="24"/>
          <w:szCs w:val="24"/>
        </w:rPr>
        <w:t>How does the client know if they have a case against a Stock Exchange Member?</w:t>
      </w:r>
    </w:p>
    <w:p w:rsidR="00734F83" w:rsidRPr="00734F83" w:rsidRDefault="00734F83" w:rsidP="003B0884">
      <w:pPr>
        <w:shd w:val="clear" w:color="auto" w:fill="FFFFFF"/>
        <w:spacing w:after="0" w:line="330" w:lineRule="atLeast"/>
        <w:ind w:left="900" w:right="900"/>
        <w:jc w:val="both"/>
        <w:textAlignment w:val="baseline"/>
        <w:rPr>
          <w:rFonts w:ascii="inherit" w:eastAsia="Times New Roman" w:hAnsi="inherit" w:cs="Arial"/>
          <w:color w:val="444444"/>
          <w:sz w:val="24"/>
          <w:szCs w:val="24"/>
        </w:rPr>
      </w:pPr>
    </w:p>
    <w:p w:rsidR="00734F83" w:rsidRPr="00734F83" w:rsidRDefault="00734F83" w:rsidP="003B0884">
      <w:pPr>
        <w:shd w:val="clear" w:color="auto" w:fill="FFFFFF"/>
        <w:spacing w:after="360" w:line="240" w:lineRule="auto"/>
        <w:jc w:val="both"/>
        <w:textAlignment w:val="baseline"/>
        <w:rPr>
          <w:rFonts w:ascii="inherit" w:eastAsia="Times New Roman" w:hAnsi="inherit" w:cs="Arial"/>
          <w:color w:val="444444"/>
          <w:sz w:val="24"/>
          <w:szCs w:val="24"/>
        </w:rPr>
      </w:pPr>
      <w:r w:rsidRPr="00734F83">
        <w:rPr>
          <w:rFonts w:ascii="Arial" w:eastAsia="Times New Roman" w:hAnsi="Arial" w:cs="Arial"/>
          <w:color w:val="444444"/>
          <w:sz w:val="24"/>
          <w:szCs w:val="24"/>
        </w:rPr>
        <w:t>Losing money through dealing in securities is not in itself reason enough for a client to have a case against a Member. However, it is the responsibility of the Member to invest money according to the client’s instructions. There are certain malpractices against which a client can lodge a complaint such as:</w:t>
      </w:r>
    </w:p>
    <w:p w:rsidR="00734F83" w:rsidRPr="00734F83" w:rsidRDefault="00734F83" w:rsidP="003B0884">
      <w:pPr>
        <w:numPr>
          <w:ilvl w:val="2"/>
          <w:numId w:val="3"/>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Unauthorized Trading (Sale/Purchase)</w:t>
      </w:r>
    </w:p>
    <w:p w:rsidR="00734F83" w:rsidRPr="00734F83" w:rsidRDefault="00734F83" w:rsidP="003B0884">
      <w:pPr>
        <w:numPr>
          <w:ilvl w:val="2"/>
          <w:numId w:val="3"/>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Unauthorized Transfer / Movement of Shares</w:t>
      </w:r>
    </w:p>
    <w:p w:rsidR="00734F83" w:rsidRPr="00734F83" w:rsidRDefault="00734F83" w:rsidP="003B0884">
      <w:pPr>
        <w:numPr>
          <w:ilvl w:val="2"/>
          <w:numId w:val="3"/>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Non-supply of Statements of Account</w:t>
      </w:r>
    </w:p>
    <w:p w:rsidR="00734F83" w:rsidRPr="00734F83" w:rsidRDefault="00734F83" w:rsidP="003B0884">
      <w:pPr>
        <w:numPr>
          <w:ilvl w:val="2"/>
          <w:numId w:val="3"/>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Non-supply of Trade Confirmations within 24 hours</w:t>
      </w:r>
    </w:p>
    <w:p w:rsidR="00734F83" w:rsidRPr="00734F83" w:rsidRDefault="00734F83" w:rsidP="003B0884">
      <w:pPr>
        <w:numPr>
          <w:ilvl w:val="2"/>
          <w:numId w:val="3"/>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Overcharged Commission</w:t>
      </w:r>
    </w:p>
    <w:p w:rsidR="00734F83" w:rsidRPr="00734F83" w:rsidRDefault="00734F83" w:rsidP="003B0884">
      <w:pPr>
        <w:numPr>
          <w:ilvl w:val="2"/>
          <w:numId w:val="3"/>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Failure to Execute Investor’s Instructions/orders</w:t>
      </w:r>
    </w:p>
    <w:p w:rsidR="00734F83" w:rsidRPr="00734F83" w:rsidRDefault="00734F83" w:rsidP="003B0884">
      <w:pPr>
        <w:numPr>
          <w:ilvl w:val="2"/>
          <w:numId w:val="3"/>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Suspension of Payment</w:t>
      </w:r>
    </w:p>
    <w:p w:rsidR="00734F83" w:rsidRDefault="00734F83" w:rsidP="003B0884">
      <w:pPr>
        <w:numPr>
          <w:ilvl w:val="2"/>
          <w:numId w:val="3"/>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Non-Delivery of Securities</w:t>
      </w:r>
    </w:p>
    <w:p w:rsidR="00734F83" w:rsidRPr="00734F83" w:rsidRDefault="00734F83" w:rsidP="003B0884">
      <w:pPr>
        <w:shd w:val="clear" w:color="auto" w:fill="FFFFFF"/>
        <w:spacing w:after="0" w:line="330" w:lineRule="atLeast"/>
        <w:ind w:left="1350" w:right="1350"/>
        <w:jc w:val="both"/>
        <w:textAlignment w:val="baseline"/>
        <w:rPr>
          <w:rFonts w:ascii="inherit" w:eastAsia="Times New Roman" w:hAnsi="inherit" w:cs="Arial"/>
          <w:color w:val="444444"/>
          <w:sz w:val="24"/>
          <w:szCs w:val="24"/>
        </w:rPr>
      </w:pPr>
    </w:p>
    <w:p w:rsidR="00734F83" w:rsidRPr="00734F83" w:rsidRDefault="00734F83" w:rsidP="003B0884">
      <w:pPr>
        <w:numPr>
          <w:ilvl w:val="1"/>
          <w:numId w:val="4"/>
        </w:numPr>
        <w:shd w:val="clear" w:color="auto" w:fill="FFFFFF"/>
        <w:spacing w:after="0" w:line="330" w:lineRule="atLeast"/>
        <w:ind w:left="900" w:right="900"/>
        <w:jc w:val="both"/>
        <w:textAlignment w:val="baseline"/>
        <w:rPr>
          <w:rFonts w:ascii="inherit" w:eastAsia="Times New Roman" w:hAnsi="inherit" w:cs="Arial"/>
          <w:color w:val="444444"/>
          <w:sz w:val="24"/>
          <w:szCs w:val="24"/>
        </w:rPr>
      </w:pPr>
      <w:r w:rsidRPr="00734F83">
        <w:rPr>
          <w:rFonts w:ascii="inherit" w:eastAsia="Times New Roman" w:hAnsi="inherit" w:cs="Arial"/>
          <w:b/>
          <w:bCs/>
          <w:color w:val="444444"/>
          <w:sz w:val="24"/>
          <w:szCs w:val="24"/>
        </w:rPr>
        <w:t>What are the different streams through which a problem with a Stock Exchange Member can be settled?</w:t>
      </w:r>
    </w:p>
    <w:p w:rsidR="00734F83" w:rsidRPr="00734F83" w:rsidRDefault="00734F83" w:rsidP="003B0884">
      <w:pPr>
        <w:shd w:val="clear" w:color="auto" w:fill="FFFFFF"/>
        <w:spacing w:after="0" w:line="330" w:lineRule="atLeast"/>
        <w:ind w:left="900" w:right="900"/>
        <w:jc w:val="both"/>
        <w:textAlignment w:val="baseline"/>
        <w:rPr>
          <w:rFonts w:ascii="inherit" w:eastAsia="Times New Roman" w:hAnsi="inherit" w:cs="Arial"/>
          <w:color w:val="444444"/>
          <w:sz w:val="24"/>
          <w:szCs w:val="24"/>
        </w:rPr>
      </w:pPr>
    </w:p>
    <w:p w:rsidR="00734F83" w:rsidRPr="00734F83" w:rsidRDefault="00734F83" w:rsidP="003B0884">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There are three possible recourses for the client in regards to filing a complaint but prior to this it is strongly suggested that the complaint be taken up directly with the Member. This will not only save time but may help to preserve the trust and confidence between member and client.</w:t>
      </w:r>
    </w:p>
    <w:p w:rsidR="00734F83" w:rsidRPr="00734F83" w:rsidRDefault="00734F83" w:rsidP="003B0884">
      <w:pPr>
        <w:shd w:val="clear" w:color="auto" w:fill="FFFFFF"/>
        <w:spacing w:after="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b/>
          <w:bCs/>
          <w:color w:val="444444"/>
          <w:sz w:val="24"/>
          <w:szCs w:val="24"/>
        </w:rPr>
        <w:lastRenderedPageBreak/>
        <w:t>PSX Arbitration Committee: </w:t>
      </w:r>
      <w:r w:rsidRPr="00734F83">
        <w:rPr>
          <w:rFonts w:ascii="Arial" w:eastAsia="Times New Roman" w:hAnsi="Arial" w:cs="Arial"/>
          <w:color w:val="444444"/>
          <w:sz w:val="24"/>
          <w:szCs w:val="24"/>
        </w:rPr>
        <w:t>The client has the option of bringing their complaint to the management of the PSX. As a front line regulator PSX is empowered to take cognizance of complaints against the Members under</w:t>
      </w:r>
    </w:p>
    <w:p w:rsidR="00734F83" w:rsidRPr="00734F83" w:rsidRDefault="00734F83" w:rsidP="003B0884">
      <w:pPr>
        <w:shd w:val="clear" w:color="auto" w:fill="FFFFFF"/>
        <w:spacing w:after="0" w:line="240" w:lineRule="auto"/>
        <w:ind w:left="450" w:right="450"/>
        <w:jc w:val="both"/>
        <w:textAlignment w:val="baseline"/>
        <w:rPr>
          <w:rFonts w:ascii="Arial" w:eastAsia="Times New Roman" w:hAnsi="Arial" w:cs="Arial"/>
          <w:color w:val="444444"/>
          <w:sz w:val="24"/>
          <w:szCs w:val="24"/>
        </w:rPr>
      </w:pPr>
    </w:p>
    <w:p w:rsidR="00734F83" w:rsidRPr="00734F83" w:rsidRDefault="00734F83" w:rsidP="003B0884">
      <w:pPr>
        <w:numPr>
          <w:ilvl w:val="2"/>
          <w:numId w:val="5"/>
        </w:numPr>
        <w:shd w:val="clear" w:color="auto" w:fill="FFFFFF"/>
        <w:spacing w:after="0" w:line="240" w:lineRule="auto"/>
        <w:ind w:left="1350" w:right="1350"/>
        <w:jc w:val="both"/>
        <w:textAlignment w:val="baseline"/>
        <w:rPr>
          <w:rFonts w:ascii="inherit" w:eastAsia="Times New Roman" w:hAnsi="inherit" w:cs="Arial"/>
          <w:color w:val="444444"/>
          <w:sz w:val="24"/>
          <w:szCs w:val="24"/>
        </w:rPr>
      </w:pPr>
      <w:proofErr w:type="gramStart"/>
      <w:r w:rsidRPr="00734F83">
        <w:rPr>
          <w:rFonts w:ascii="inherit" w:eastAsia="Times New Roman" w:hAnsi="inherit" w:cs="Arial"/>
          <w:color w:val="444444"/>
          <w:sz w:val="24"/>
          <w:szCs w:val="24"/>
        </w:rPr>
        <w:t>the</w:t>
      </w:r>
      <w:proofErr w:type="gramEnd"/>
      <w:r w:rsidRPr="00734F83">
        <w:rPr>
          <w:rFonts w:ascii="inherit" w:eastAsia="Times New Roman" w:hAnsi="inherit" w:cs="Arial"/>
          <w:color w:val="444444"/>
          <w:sz w:val="24"/>
          <w:szCs w:val="24"/>
        </w:rPr>
        <w:t xml:space="preserve"> approved Rules and Regulations. After the careful review of all documents provided by the parties an Arbitration Award may be passed in accordance to the Rules and Regulations.</w:t>
      </w:r>
    </w:p>
    <w:p w:rsidR="00734F83" w:rsidRDefault="00734F83" w:rsidP="003B0884">
      <w:pPr>
        <w:numPr>
          <w:ilvl w:val="2"/>
          <w:numId w:val="5"/>
        </w:numPr>
        <w:shd w:val="clear" w:color="auto" w:fill="FFFFFF"/>
        <w:spacing w:after="0" w:line="240" w:lineRule="auto"/>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b/>
          <w:bCs/>
          <w:color w:val="444444"/>
          <w:sz w:val="24"/>
          <w:szCs w:val="24"/>
        </w:rPr>
        <w:t>SECP: </w:t>
      </w:r>
      <w:r w:rsidRPr="00734F83">
        <w:rPr>
          <w:rFonts w:ascii="inherit" w:eastAsia="Times New Roman" w:hAnsi="inherit" w:cs="Arial"/>
          <w:color w:val="444444"/>
          <w:sz w:val="24"/>
          <w:szCs w:val="24"/>
        </w:rPr>
        <w:t>The client can also lodge his/her complaint with the Vigilance Cell which has been setup at SECP to ensure that grievances/complaints of the general public are heard and redressed, in a quick and efficient manner. All the complaints received by the Vigilance Cell against Stock Exchange Members are forwarded to the Investor Complaint Wing (“ICW”) of the Securities Market Division (“SMD”) for further processing. However, SECP is not empowered to force the Member for compensation/damages.</w:t>
      </w:r>
    </w:p>
    <w:p w:rsidR="00734F83" w:rsidRPr="00734F83" w:rsidRDefault="00734F83" w:rsidP="003B0884">
      <w:pPr>
        <w:shd w:val="clear" w:color="auto" w:fill="FFFFFF"/>
        <w:spacing w:after="0" w:line="240" w:lineRule="auto"/>
        <w:ind w:left="1350" w:right="1350"/>
        <w:jc w:val="both"/>
        <w:textAlignment w:val="baseline"/>
        <w:rPr>
          <w:rFonts w:ascii="inherit" w:eastAsia="Times New Roman" w:hAnsi="inherit" w:cs="Arial"/>
          <w:color w:val="444444"/>
          <w:sz w:val="24"/>
          <w:szCs w:val="24"/>
        </w:rPr>
      </w:pPr>
    </w:p>
    <w:p w:rsidR="00734F83" w:rsidRDefault="00734F83" w:rsidP="003B0884">
      <w:pPr>
        <w:numPr>
          <w:ilvl w:val="2"/>
          <w:numId w:val="5"/>
        </w:numPr>
        <w:shd w:val="clear" w:color="auto" w:fill="FFFFFF"/>
        <w:spacing w:after="0" w:line="240" w:lineRule="auto"/>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b/>
          <w:bCs/>
          <w:color w:val="444444"/>
          <w:sz w:val="24"/>
          <w:szCs w:val="24"/>
        </w:rPr>
        <w:t>Civil Court: </w:t>
      </w:r>
      <w:r w:rsidRPr="00734F83">
        <w:rPr>
          <w:rFonts w:ascii="inherit" w:eastAsia="Times New Roman" w:hAnsi="inherit" w:cs="Arial"/>
          <w:color w:val="444444"/>
          <w:sz w:val="24"/>
          <w:szCs w:val="24"/>
        </w:rPr>
        <w:t>The client can also file their complaint with the Civil Courts.</w:t>
      </w:r>
    </w:p>
    <w:p w:rsidR="00734F83" w:rsidRPr="00734F83" w:rsidRDefault="00734F83" w:rsidP="003B0884">
      <w:pPr>
        <w:shd w:val="clear" w:color="auto" w:fill="FFFFFF"/>
        <w:spacing w:after="0" w:line="240" w:lineRule="auto"/>
        <w:ind w:right="1350"/>
        <w:jc w:val="both"/>
        <w:textAlignment w:val="baseline"/>
        <w:rPr>
          <w:rFonts w:ascii="inherit" w:eastAsia="Times New Roman" w:hAnsi="inherit" w:cs="Arial"/>
          <w:color w:val="444444"/>
          <w:sz w:val="24"/>
          <w:szCs w:val="24"/>
        </w:rPr>
      </w:pPr>
    </w:p>
    <w:p w:rsidR="00734F83" w:rsidRPr="00734F83" w:rsidRDefault="00734F83" w:rsidP="003B0884">
      <w:pPr>
        <w:numPr>
          <w:ilvl w:val="1"/>
          <w:numId w:val="5"/>
        </w:numPr>
        <w:shd w:val="clear" w:color="auto" w:fill="FFFFFF"/>
        <w:spacing w:after="0" w:line="330" w:lineRule="atLeast"/>
        <w:ind w:left="900" w:right="900"/>
        <w:jc w:val="both"/>
        <w:textAlignment w:val="baseline"/>
        <w:rPr>
          <w:rFonts w:ascii="inherit" w:eastAsia="Times New Roman" w:hAnsi="inherit" w:cs="Arial"/>
          <w:color w:val="444444"/>
          <w:sz w:val="24"/>
          <w:szCs w:val="24"/>
        </w:rPr>
      </w:pPr>
      <w:r w:rsidRPr="00734F83">
        <w:rPr>
          <w:rFonts w:ascii="inherit" w:eastAsia="Times New Roman" w:hAnsi="inherit" w:cs="Arial"/>
          <w:b/>
          <w:bCs/>
          <w:color w:val="444444"/>
          <w:sz w:val="24"/>
          <w:szCs w:val="24"/>
        </w:rPr>
        <w:t>What is Arbitration? Who are the persons who can act as Arbitrators?</w:t>
      </w:r>
    </w:p>
    <w:p w:rsidR="00734F83" w:rsidRPr="00734F83" w:rsidRDefault="00734F83" w:rsidP="003B0884">
      <w:pPr>
        <w:shd w:val="clear" w:color="auto" w:fill="FFFFFF"/>
        <w:spacing w:after="0" w:line="330" w:lineRule="atLeast"/>
        <w:ind w:left="900" w:right="900"/>
        <w:jc w:val="both"/>
        <w:textAlignment w:val="baseline"/>
        <w:rPr>
          <w:rFonts w:ascii="inherit" w:eastAsia="Times New Roman" w:hAnsi="inherit" w:cs="Arial"/>
          <w:color w:val="444444"/>
          <w:sz w:val="24"/>
          <w:szCs w:val="24"/>
        </w:rPr>
      </w:pPr>
    </w:p>
    <w:p w:rsidR="00734F83" w:rsidRPr="00734F83" w:rsidRDefault="00734F83" w:rsidP="003B0884">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Arbitration is an alternative dispute resolution mechanism provided by PSX for those persons who do not wish to go to Court. Through this method disputes between the trading Members and between trading Members &amp; their constituents (i.e. clients of trading members), may be addressed &amp; resolved in respect of trades done on the Exchange. This process of resolving a dispute is comparatively faster than litigation.</w:t>
      </w:r>
    </w:p>
    <w:p w:rsidR="00734F83" w:rsidRPr="00734F83" w:rsidRDefault="00734F83" w:rsidP="003B0884">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The arbitrators are Members and management of the Exchange and Non-member directors of the Exchange. For further details please refer to Regulation 29 of the General Rules &amp; Regulations of the PSX Limited.</w:t>
      </w:r>
    </w:p>
    <w:p w:rsidR="00734F83" w:rsidRPr="003B0884" w:rsidRDefault="00734F83" w:rsidP="003B0884">
      <w:pPr>
        <w:numPr>
          <w:ilvl w:val="1"/>
          <w:numId w:val="6"/>
        </w:numPr>
        <w:shd w:val="clear" w:color="auto" w:fill="FFFFFF"/>
        <w:spacing w:after="0" w:line="330" w:lineRule="atLeast"/>
        <w:ind w:left="900" w:right="900"/>
        <w:jc w:val="both"/>
        <w:textAlignment w:val="baseline"/>
        <w:rPr>
          <w:rFonts w:ascii="inherit" w:eastAsia="Times New Roman" w:hAnsi="inherit" w:cs="Arial"/>
          <w:color w:val="444444"/>
          <w:sz w:val="24"/>
          <w:szCs w:val="24"/>
        </w:rPr>
      </w:pPr>
      <w:r w:rsidRPr="00734F83">
        <w:rPr>
          <w:rFonts w:ascii="inherit" w:eastAsia="Times New Roman" w:hAnsi="inherit" w:cs="Arial"/>
          <w:b/>
          <w:bCs/>
          <w:color w:val="444444"/>
          <w:sz w:val="24"/>
          <w:szCs w:val="24"/>
        </w:rPr>
        <w:t>Who can avail the facility of Arbitration on the Exchange?</w:t>
      </w:r>
    </w:p>
    <w:p w:rsidR="003B0884" w:rsidRPr="00734F83" w:rsidRDefault="003B0884" w:rsidP="003B0884">
      <w:pPr>
        <w:shd w:val="clear" w:color="auto" w:fill="FFFFFF"/>
        <w:spacing w:after="0" w:line="330" w:lineRule="atLeast"/>
        <w:ind w:left="900" w:right="900"/>
        <w:jc w:val="both"/>
        <w:textAlignment w:val="baseline"/>
        <w:rPr>
          <w:rFonts w:ascii="inherit" w:eastAsia="Times New Roman" w:hAnsi="inherit" w:cs="Arial"/>
          <w:color w:val="444444"/>
          <w:sz w:val="24"/>
          <w:szCs w:val="24"/>
        </w:rPr>
      </w:pPr>
    </w:p>
    <w:p w:rsidR="003B0884" w:rsidRDefault="00734F83" w:rsidP="003B0884">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The facility of arbitration on the Exchange can be availed by:</w:t>
      </w:r>
    </w:p>
    <w:p w:rsidR="00734F83" w:rsidRPr="00734F83" w:rsidRDefault="00734F83" w:rsidP="003B0884">
      <w:pPr>
        <w:shd w:val="clear" w:color="auto" w:fill="FFFFFF"/>
        <w:spacing w:after="360" w:line="240" w:lineRule="auto"/>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Investors who have dealt on the Exchange through their Members dealing in Securities</w:t>
      </w:r>
    </w:p>
    <w:p w:rsidR="00734F83" w:rsidRPr="00734F83" w:rsidRDefault="00734F83" w:rsidP="003B0884">
      <w:pPr>
        <w:numPr>
          <w:ilvl w:val="2"/>
          <w:numId w:val="7"/>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Investors who have dealt on the Exchange through registered agents of the Member dealing in securities</w:t>
      </w:r>
    </w:p>
    <w:p w:rsidR="00734F83" w:rsidRDefault="00734F83" w:rsidP="003B0884">
      <w:pPr>
        <w:numPr>
          <w:ilvl w:val="2"/>
          <w:numId w:val="7"/>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Trading Members who have a claim, dispute or difference with another trading Member or a constituent</w:t>
      </w:r>
    </w:p>
    <w:p w:rsidR="00734F83" w:rsidRPr="00734F83" w:rsidRDefault="00734F83" w:rsidP="003B0884">
      <w:pPr>
        <w:numPr>
          <w:ilvl w:val="1"/>
          <w:numId w:val="7"/>
        </w:numPr>
        <w:shd w:val="clear" w:color="auto" w:fill="FFFFFF"/>
        <w:spacing w:after="0" w:line="330" w:lineRule="atLeast"/>
        <w:ind w:left="900" w:right="900"/>
        <w:jc w:val="both"/>
        <w:textAlignment w:val="baseline"/>
        <w:rPr>
          <w:rFonts w:ascii="inherit" w:eastAsia="Times New Roman" w:hAnsi="inherit" w:cs="Arial"/>
          <w:color w:val="444444"/>
          <w:sz w:val="24"/>
          <w:szCs w:val="24"/>
        </w:rPr>
      </w:pPr>
      <w:r w:rsidRPr="00734F83">
        <w:rPr>
          <w:rFonts w:ascii="inherit" w:eastAsia="Times New Roman" w:hAnsi="inherit" w:cs="Arial"/>
          <w:b/>
          <w:bCs/>
          <w:color w:val="444444"/>
          <w:sz w:val="24"/>
          <w:szCs w:val="24"/>
        </w:rPr>
        <w:lastRenderedPageBreak/>
        <w:t>What is the period for filing an application for Arbitration in the event of a claim, difference or dispute?</w:t>
      </w:r>
    </w:p>
    <w:p w:rsidR="00734F83" w:rsidRPr="00734F83" w:rsidRDefault="00734F83" w:rsidP="00BA0611">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An application for arbitration has to be filed within 3 months from the date of the dispute. For further details please refer to Regulation 34 of the General Rules and Regulations of PSX Limited.</w:t>
      </w:r>
    </w:p>
    <w:p w:rsidR="00734F83" w:rsidRPr="00734F83" w:rsidRDefault="00734F83" w:rsidP="003B0884">
      <w:pPr>
        <w:numPr>
          <w:ilvl w:val="1"/>
          <w:numId w:val="8"/>
        </w:numPr>
        <w:shd w:val="clear" w:color="auto" w:fill="FFFFFF"/>
        <w:spacing w:after="0" w:line="330" w:lineRule="atLeast"/>
        <w:ind w:left="900" w:right="900"/>
        <w:jc w:val="both"/>
        <w:textAlignment w:val="baseline"/>
        <w:rPr>
          <w:rFonts w:ascii="inherit" w:eastAsia="Times New Roman" w:hAnsi="inherit" w:cs="Arial"/>
          <w:color w:val="444444"/>
          <w:sz w:val="24"/>
          <w:szCs w:val="24"/>
        </w:rPr>
      </w:pPr>
      <w:r w:rsidRPr="00734F83">
        <w:rPr>
          <w:rFonts w:ascii="inherit" w:eastAsia="Times New Roman" w:hAnsi="inherit" w:cs="Arial"/>
          <w:b/>
          <w:bCs/>
          <w:color w:val="444444"/>
          <w:sz w:val="24"/>
          <w:szCs w:val="24"/>
        </w:rPr>
        <w:t>What is the Process for filing an application for Arbitration with PSX?</w:t>
      </w:r>
    </w:p>
    <w:p w:rsidR="00734F83" w:rsidRPr="00734F83" w:rsidRDefault="00734F83" w:rsidP="003B0884">
      <w:pPr>
        <w:shd w:val="clear" w:color="auto" w:fill="FFFFFF"/>
        <w:spacing w:after="360" w:line="240" w:lineRule="auto"/>
        <w:jc w:val="both"/>
        <w:textAlignment w:val="baseline"/>
        <w:rPr>
          <w:rFonts w:ascii="Arial" w:eastAsia="Times New Roman" w:hAnsi="Arial" w:cs="Arial"/>
          <w:color w:val="444444"/>
          <w:sz w:val="24"/>
          <w:szCs w:val="24"/>
        </w:rPr>
      </w:pPr>
      <w:r w:rsidRPr="00734F83">
        <w:rPr>
          <w:rFonts w:ascii="Arial" w:eastAsia="Times New Roman" w:hAnsi="Arial" w:cs="Arial"/>
          <w:color w:val="444444"/>
          <w:sz w:val="24"/>
          <w:szCs w:val="24"/>
        </w:rPr>
        <w:t>The procedure for arbitration is as follows:</w:t>
      </w:r>
    </w:p>
    <w:p w:rsidR="00734F83" w:rsidRPr="00734F83" w:rsidRDefault="00734F83" w:rsidP="003B0884">
      <w:pPr>
        <w:numPr>
          <w:ilvl w:val="2"/>
          <w:numId w:val="9"/>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The client can file an application for Arbitration with the PSX.</w:t>
      </w:r>
    </w:p>
    <w:p w:rsidR="00734F83" w:rsidRPr="00734F83" w:rsidRDefault="00734F83" w:rsidP="003B0884">
      <w:pPr>
        <w:numPr>
          <w:ilvl w:val="2"/>
          <w:numId w:val="9"/>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Copies of the following documents may be submitted along with the application to support the claim:</w:t>
      </w:r>
    </w:p>
    <w:p w:rsidR="00734F83" w:rsidRPr="00734F83" w:rsidRDefault="00734F83" w:rsidP="003B0884">
      <w:pPr>
        <w:numPr>
          <w:ilvl w:val="3"/>
          <w:numId w:val="9"/>
        </w:numPr>
        <w:shd w:val="clear" w:color="auto" w:fill="FFFFFF"/>
        <w:spacing w:after="0" w:line="330" w:lineRule="atLeast"/>
        <w:ind w:left="1800" w:right="180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Copy of NIC (in case of companies NIC of the authorized representative)</w:t>
      </w:r>
    </w:p>
    <w:p w:rsidR="00734F83" w:rsidRPr="00734F83" w:rsidRDefault="00734F83" w:rsidP="003B0884">
      <w:pPr>
        <w:numPr>
          <w:ilvl w:val="3"/>
          <w:numId w:val="9"/>
        </w:numPr>
        <w:shd w:val="clear" w:color="auto" w:fill="FFFFFF"/>
        <w:spacing w:after="0" w:line="330" w:lineRule="atLeast"/>
        <w:ind w:left="1800" w:right="180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Account opening form of the complainant</w:t>
      </w:r>
    </w:p>
    <w:p w:rsidR="00734F83" w:rsidRPr="00734F83" w:rsidRDefault="00734F83" w:rsidP="003B0884">
      <w:pPr>
        <w:numPr>
          <w:ilvl w:val="3"/>
          <w:numId w:val="9"/>
        </w:numPr>
        <w:shd w:val="clear" w:color="auto" w:fill="FFFFFF"/>
        <w:spacing w:after="0" w:line="330" w:lineRule="atLeast"/>
        <w:ind w:left="1800" w:right="180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CDC sub-account opening form/Individual investor account</w:t>
      </w:r>
    </w:p>
    <w:p w:rsidR="00734F83" w:rsidRPr="00734F83" w:rsidRDefault="00734F83" w:rsidP="003B0884">
      <w:pPr>
        <w:numPr>
          <w:ilvl w:val="3"/>
          <w:numId w:val="9"/>
        </w:numPr>
        <w:shd w:val="clear" w:color="auto" w:fill="FFFFFF"/>
        <w:spacing w:after="0" w:line="330" w:lineRule="atLeast"/>
        <w:ind w:left="1800" w:right="180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Relevant Share Deposit receipts.</w:t>
      </w:r>
    </w:p>
    <w:p w:rsidR="00734F83" w:rsidRPr="00734F83" w:rsidRDefault="00734F83" w:rsidP="003B0884">
      <w:pPr>
        <w:numPr>
          <w:ilvl w:val="3"/>
          <w:numId w:val="9"/>
        </w:numPr>
        <w:shd w:val="clear" w:color="auto" w:fill="FFFFFF"/>
        <w:spacing w:after="0" w:line="330" w:lineRule="atLeast"/>
        <w:ind w:left="1800" w:right="180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Relevant Trade confirmations slips/sale-purchase bills</w:t>
      </w:r>
    </w:p>
    <w:p w:rsidR="00734F83" w:rsidRPr="00734F83" w:rsidRDefault="00734F83" w:rsidP="003B0884">
      <w:pPr>
        <w:numPr>
          <w:ilvl w:val="3"/>
          <w:numId w:val="9"/>
        </w:numPr>
        <w:shd w:val="clear" w:color="auto" w:fill="FFFFFF"/>
        <w:spacing w:after="0" w:line="330" w:lineRule="atLeast"/>
        <w:ind w:left="1800" w:right="180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Relevant cash receipts and payments made</w:t>
      </w:r>
    </w:p>
    <w:p w:rsidR="00734F83" w:rsidRPr="00734F83" w:rsidRDefault="00734F83" w:rsidP="003B0884">
      <w:pPr>
        <w:numPr>
          <w:ilvl w:val="3"/>
          <w:numId w:val="9"/>
        </w:numPr>
        <w:shd w:val="clear" w:color="auto" w:fill="FFFFFF"/>
        <w:spacing w:after="0" w:line="330" w:lineRule="atLeast"/>
        <w:ind w:left="1800" w:right="180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Relevant CDC reports and statements</w:t>
      </w:r>
    </w:p>
    <w:p w:rsidR="00734F83" w:rsidRPr="00734F83" w:rsidRDefault="00734F83" w:rsidP="003B0884">
      <w:pPr>
        <w:numPr>
          <w:ilvl w:val="3"/>
          <w:numId w:val="9"/>
        </w:numPr>
        <w:shd w:val="clear" w:color="auto" w:fill="FFFFFF"/>
        <w:spacing w:after="0" w:line="330" w:lineRule="atLeast"/>
        <w:ind w:left="1800" w:right="180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Any other document signed by the complainant or Member during the course of business.</w:t>
      </w:r>
    </w:p>
    <w:p w:rsidR="00734F83" w:rsidRPr="00734F83" w:rsidRDefault="00734F83" w:rsidP="003B0884">
      <w:pPr>
        <w:numPr>
          <w:ilvl w:val="3"/>
          <w:numId w:val="9"/>
        </w:numPr>
        <w:shd w:val="clear" w:color="auto" w:fill="FFFFFF"/>
        <w:spacing w:after="0" w:line="330" w:lineRule="atLeast"/>
        <w:ind w:left="1800" w:right="180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An undertaking to abide by the rules and regulations of the Exchange.</w:t>
      </w:r>
    </w:p>
    <w:p w:rsidR="00734F83" w:rsidRPr="00734F83" w:rsidRDefault="00734F83" w:rsidP="003B0884">
      <w:pPr>
        <w:numPr>
          <w:ilvl w:val="2"/>
          <w:numId w:val="9"/>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The Exchange then appoints the arbitrator(s). The claims up to 0.5 million are referred for arbitration to the Managing Director of the Exchange who will either himself enter upon the reference or appoint a nominee for this purpose and the claims/disputes above 0.5 million are referred to the Advisory &amp; Arbitration Committee for their resolution/decision.</w:t>
      </w:r>
    </w:p>
    <w:p w:rsidR="00734F83" w:rsidRPr="00734F83" w:rsidRDefault="00734F83" w:rsidP="003B0884">
      <w:pPr>
        <w:numPr>
          <w:ilvl w:val="2"/>
          <w:numId w:val="9"/>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The Arbitrator conveys the date of hearing to the parties and grants hearing in this respect to provide the parties an opportunity of presenting their case. After hearing both sides the Arbitrator passes an Award accordingly.</w:t>
      </w:r>
    </w:p>
    <w:p w:rsidR="00734F83" w:rsidRDefault="00734F83" w:rsidP="003B0884">
      <w:pPr>
        <w:numPr>
          <w:ilvl w:val="2"/>
          <w:numId w:val="9"/>
        </w:numPr>
        <w:shd w:val="clear" w:color="auto" w:fill="FFFFFF"/>
        <w:spacing w:after="0" w:line="330" w:lineRule="atLeast"/>
        <w:ind w:left="1350" w:right="1350"/>
        <w:jc w:val="both"/>
        <w:textAlignment w:val="baseline"/>
        <w:rPr>
          <w:rFonts w:ascii="inherit" w:eastAsia="Times New Roman" w:hAnsi="inherit" w:cs="Arial"/>
          <w:color w:val="444444"/>
          <w:sz w:val="24"/>
          <w:szCs w:val="24"/>
        </w:rPr>
      </w:pPr>
      <w:r w:rsidRPr="00734F83">
        <w:rPr>
          <w:rFonts w:ascii="inherit" w:eastAsia="Times New Roman" w:hAnsi="inherit" w:cs="Arial"/>
          <w:color w:val="444444"/>
          <w:sz w:val="24"/>
          <w:szCs w:val="24"/>
        </w:rPr>
        <w:t xml:space="preserve">According to </w:t>
      </w:r>
      <w:proofErr w:type="gramStart"/>
      <w:r w:rsidRPr="00734F83">
        <w:rPr>
          <w:rFonts w:ascii="inherit" w:eastAsia="Times New Roman" w:hAnsi="inherit" w:cs="Arial"/>
          <w:color w:val="444444"/>
          <w:sz w:val="24"/>
          <w:szCs w:val="24"/>
        </w:rPr>
        <w:t>PSX  General</w:t>
      </w:r>
      <w:proofErr w:type="gramEnd"/>
      <w:r w:rsidRPr="00734F83">
        <w:rPr>
          <w:rFonts w:ascii="inherit" w:eastAsia="Times New Roman" w:hAnsi="inherit" w:cs="Arial"/>
          <w:color w:val="444444"/>
          <w:sz w:val="24"/>
          <w:szCs w:val="24"/>
        </w:rPr>
        <w:t xml:space="preserve"> Rules and Regulations any party to a dispute dissatisfied with any award of the Managing Director/his appointed nominee may file an appeal to the Advisory and </w:t>
      </w:r>
      <w:r w:rsidRPr="00734F83">
        <w:rPr>
          <w:rFonts w:ascii="inherit" w:eastAsia="Times New Roman" w:hAnsi="inherit" w:cs="Arial"/>
          <w:color w:val="444444"/>
          <w:sz w:val="24"/>
          <w:szCs w:val="24"/>
        </w:rPr>
        <w:lastRenderedPageBreak/>
        <w:t>Arbitration Committee against such award within seven days of receipt of such award and any party to dispute dissatisfied with the award of the Panel of Arbitrators may appeal to the Board against such award within seven days of the receipt of such award.</w:t>
      </w:r>
    </w:p>
    <w:p w:rsidR="00BA0611" w:rsidRPr="00734F83" w:rsidRDefault="00BA0611" w:rsidP="00BA0611">
      <w:pPr>
        <w:shd w:val="clear" w:color="auto" w:fill="FFFFFF"/>
        <w:spacing w:after="0" w:line="330" w:lineRule="atLeast"/>
        <w:ind w:left="1350" w:right="1350"/>
        <w:jc w:val="both"/>
        <w:textAlignment w:val="baseline"/>
        <w:rPr>
          <w:rFonts w:ascii="inherit" w:eastAsia="Times New Roman" w:hAnsi="inherit" w:cs="Arial"/>
          <w:color w:val="444444"/>
          <w:sz w:val="24"/>
          <w:szCs w:val="24"/>
        </w:rPr>
      </w:pPr>
    </w:p>
    <w:p w:rsidR="00734F83" w:rsidRPr="003B0884" w:rsidRDefault="00734F83" w:rsidP="003B0884">
      <w:pPr>
        <w:numPr>
          <w:ilvl w:val="1"/>
          <w:numId w:val="9"/>
        </w:numPr>
        <w:shd w:val="clear" w:color="auto" w:fill="FFFFFF"/>
        <w:spacing w:after="0" w:line="330" w:lineRule="atLeast"/>
        <w:ind w:left="900" w:right="900"/>
        <w:jc w:val="both"/>
        <w:textAlignment w:val="baseline"/>
        <w:rPr>
          <w:rFonts w:ascii="inherit" w:eastAsia="Times New Roman" w:hAnsi="inherit" w:cs="Arial"/>
          <w:color w:val="444444"/>
          <w:sz w:val="24"/>
          <w:szCs w:val="24"/>
        </w:rPr>
      </w:pPr>
      <w:r w:rsidRPr="00734F83">
        <w:rPr>
          <w:rFonts w:ascii="inherit" w:eastAsia="Times New Roman" w:hAnsi="inherit" w:cs="Arial"/>
          <w:b/>
          <w:bCs/>
          <w:color w:val="444444"/>
          <w:sz w:val="24"/>
          <w:szCs w:val="24"/>
        </w:rPr>
        <w:t>How is an Award made by the Sole Arbitrator/Panel of Arbitrators?</w:t>
      </w:r>
    </w:p>
    <w:p w:rsidR="003B0884" w:rsidRPr="00734F83" w:rsidRDefault="003B0884" w:rsidP="003B0884">
      <w:pPr>
        <w:shd w:val="clear" w:color="auto" w:fill="FFFFFF"/>
        <w:spacing w:after="0" w:line="330" w:lineRule="atLeast"/>
        <w:ind w:left="900" w:right="900"/>
        <w:jc w:val="both"/>
        <w:textAlignment w:val="baseline"/>
        <w:rPr>
          <w:rFonts w:ascii="inherit" w:eastAsia="Times New Roman" w:hAnsi="inherit" w:cs="Arial"/>
          <w:color w:val="444444"/>
          <w:sz w:val="24"/>
          <w:szCs w:val="24"/>
        </w:rPr>
      </w:pPr>
    </w:p>
    <w:p w:rsidR="00734F83" w:rsidRPr="00734F83" w:rsidRDefault="00734F83" w:rsidP="003B0884">
      <w:pPr>
        <w:shd w:val="clear" w:color="auto" w:fill="FFFFFF"/>
        <w:spacing w:after="360" w:line="240" w:lineRule="auto"/>
        <w:jc w:val="both"/>
        <w:textAlignment w:val="baseline"/>
        <w:rPr>
          <w:rFonts w:ascii="Bookman Old Style" w:hAnsi="Bookman Old Style"/>
          <w:sz w:val="24"/>
        </w:rPr>
      </w:pPr>
      <w:r w:rsidRPr="00734F83">
        <w:rPr>
          <w:rFonts w:ascii="Arial" w:eastAsia="Times New Roman" w:hAnsi="Arial" w:cs="Arial"/>
          <w:color w:val="444444"/>
          <w:sz w:val="24"/>
          <w:szCs w:val="24"/>
        </w:rPr>
        <w:t>If both parties to the dispute are present at the appointed time and place the arbitrator may hear the reference and announce the award. If the party against whom the complaint is made is not present the arbitrators may hear and decide the dispute ex-parte. All claims referred to the panels of arbitrators are resolved by a majority.</w:t>
      </w:r>
    </w:p>
    <w:sectPr w:rsidR="00734F83" w:rsidRPr="00734F8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13" w:rsidRDefault="00973E13" w:rsidP="00D2127A">
      <w:pPr>
        <w:spacing w:after="0" w:line="240" w:lineRule="auto"/>
      </w:pPr>
      <w:r>
        <w:separator/>
      </w:r>
    </w:p>
  </w:endnote>
  <w:endnote w:type="continuationSeparator" w:id="0">
    <w:p w:rsidR="00973E13" w:rsidRDefault="00973E13" w:rsidP="00D2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7A" w:rsidRDefault="00D2127A">
    <w:pPr>
      <w:pStyle w:val="Footer"/>
    </w:pPr>
    <w:r>
      <w:t>Room No. 305, South Tower, LSEFSL Plaza, Lahore</w:t>
    </w:r>
    <w:r>
      <w:tab/>
      <w:t>Ph. No. 042-36300447-48, 36304447-48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13" w:rsidRDefault="00973E13" w:rsidP="00D2127A">
      <w:pPr>
        <w:spacing w:after="0" w:line="240" w:lineRule="auto"/>
      </w:pPr>
      <w:r>
        <w:separator/>
      </w:r>
    </w:p>
  </w:footnote>
  <w:footnote w:type="continuationSeparator" w:id="0">
    <w:p w:rsidR="00973E13" w:rsidRDefault="00973E13" w:rsidP="00D21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7A" w:rsidRDefault="00D2127A">
    <w:pPr>
      <w:pStyle w:val="Header"/>
    </w:pPr>
    <w:r>
      <w:rPr>
        <w:noProof/>
      </w:rPr>
      <w:drawing>
        <wp:inline distT="0" distB="0" distL="0" distR="0">
          <wp:extent cx="1041991" cy="659219"/>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extLst>
                      <a:ext uri="{28A0092B-C50C-407E-A947-70E740481C1C}">
                        <a14:useLocalDpi xmlns:a14="http://schemas.microsoft.com/office/drawing/2010/main" val="0"/>
                      </a:ext>
                    </a:extLst>
                  </a:blip>
                  <a:stretch>
                    <a:fillRect/>
                  </a:stretch>
                </pic:blipFill>
                <pic:spPr>
                  <a:xfrm>
                    <a:off x="0" y="0"/>
                    <a:ext cx="1042236" cy="659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D34"/>
    <w:multiLevelType w:val="multilevel"/>
    <w:tmpl w:val="D85E3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4B0D34"/>
    <w:multiLevelType w:val="multilevel"/>
    <w:tmpl w:val="892E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F273F6"/>
    <w:multiLevelType w:val="multilevel"/>
    <w:tmpl w:val="C59EB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0B7A0E"/>
    <w:multiLevelType w:val="multilevel"/>
    <w:tmpl w:val="6E8EC8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29546E"/>
    <w:multiLevelType w:val="multilevel"/>
    <w:tmpl w:val="8250A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C87488"/>
    <w:multiLevelType w:val="multilevel"/>
    <w:tmpl w:val="94922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9E25E1"/>
    <w:multiLevelType w:val="multilevel"/>
    <w:tmpl w:val="A52AA6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C82E1F"/>
    <w:multiLevelType w:val="multilevel"/>
    <w:tmpl w:val="3976B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9423C2"/>
    <w:multiLevelType w:val="multilevel"/>
    <w:tmpl w:val="F3AEF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9F"/>
    <w:rsid w:val="0007218D"/>
    <w:rsid w:val="003B0884"/>
    <w:rsid w:val="00734F83"/>
    <w:rsid w:val="00973E13"/>
    <w:rsid w:val="009A6A9F"/>
    <w:rsid w:val="00BA0611"/>
    <w:rsid w:val="00D2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4F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4F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F83"/>
    <w:pPr>
      <w:spacing w:after="0" w:line="240" w:lineRule="auto"/>
    </w:pPr>
  </w:style>
  <w:style w:type="character" w:customStyle="1" w:styleId="Heading3Char">
    <w:name w:val="Heading 3 Char"/>
    <w:basedOn w:val="DefaultParagraphFont"/>
    <w:link w:val="Heading3"/>
    <w:uiPriority w:val="9"/>
    <w:rsid w:val="00734F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4F8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34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4F83"/>
    <w:rPr>
      <w:color w:val="0000FF"/>
      <w:u w:val="single"/>
    </w:rPr>
  </w:style>
  <w:style w:type="character" w:styleId="Strong">
    <w:name w:val="Strong"/>
    <w:basedOn w:val="DefaultParagraphFont"/>
    <w:uiPriority w:val="22"/>
    <w:qFormat/>
    <w:rsid w:val="00734F83"/>
    <w:rPr>
      <w:b/>
      <w:bCs/>
    </w:rPr>
  </w:style>
  <w:style w:type="paragraph" w:styleId="ListParagraph">
    <w:name w:val="List Paragraph"/>
    <w:basedOn w:val="Normal"/>
    <w:uiPriority w:val="34"/>
    <w:qFormat/>
    <w:rsid w:val="00734F83"/>
    <w:pPr>
      <w:ind w:left="720"/>
      <w:contextualSpacing/>
    </w:pPr>
  </w:style>
  <w:style w:type="paragraph" w:styleId="Header">
    <w:name w:val="header"/>
    <w:basedOn w:val="Normal"/>
    <w:link w:val="HeaderChar"/>
    <w:uiPriority w:val="99"/>
    <w:unhideWhenUsed/>
    <w:rsid w:val="00D2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7A"/>
  </w:style>
  <w:style w:type="paragraph" w:styleId="Footer">
    <w:name w:val="footer"/>
    <w:basedOn w:val="Normal"/>
    <w:link w:val="FooterChar"/>
    <w:uiPriority w:val="99"/>
    <w:unhideWhenUsed/>
    <w:rsid w:val="00D2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7A"/>
  </w:style>
  <w:style w:type="paragraph" w:styleId="BalloonText">
    <w:name w:val="Balloon Text"/>
    <w:basedOn w:val="Normal"/>
    <w:link w:val="BalloonTextChar"/>
    <w:uiPriority w:val="99"/>
    <w:semiHidden/>
    <w:unhideWhenUsed/>
    <w:rsid w:val="00D2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4F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4F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F83"/>
    <w:pPr>
      <w:spacing w:after="0" w:line="240" w:lineRule="auto"/>
    </w:pPr>
  </w:style>
  <w:style w:type="character" w:customStyle="1" w:styleId="Heading3Char">
    <w:name w:val="Heading 3 Char"/>
    <w:basedOn w:val="DefaultParagraphFont"/>
    <w:link w:val="Heading3"/>
    <w:uiPriority w:val="9"/>
    <w:rsid w:val="00734F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4F8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34F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4F83"/>
    <w:rPr>
      <w:color w:val="0000FF"/>
      <w:u w:val="single"/>
    </w:rPr>
  </w:style>
  <w:style w:type="character" w:styleId="Strong">
    <w:name w:val="Strong"/>
    <w:basedOn w:val="DefaultParagraphFont"/>
    <w:uiPriority w:val="22"/>
    <w:qFormat/>
    <w:rsid w:val="00734F83"/>
    <w:rPr>
      <w:b/>
      <w:bCs/>
    </w:rPr>
  </w:style>
  <w:style w:type="paragraph" w:styleId="ListParagraph">
    <w:name w:val="List Paragraph"/>
    <w:basedOn w:val="Normal"/>
    <w:uiPriority w:val="34"/>
    <w:qFormat/>
    <w:rsid w:val="00734F83"/>
    <w:pPr>
      <w:ind w:left="720"/>
      <w:contextualSpacing/>
    </w:pPr>
  </w:style>
  <w:style w:type="paragraph" w:styleId="Header">
    <w:name w:val="header"/>
    <w:basedOn w:val="Normal"/>
    <w:link w:val="HeaderChar"/>
    <w:uiPriority w:val="99"/>
    <w:unhideWhenUsed/>
    <w:rsid w:val="00D2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27A"/>
  </w:style>
  <w:style w:type="paragraph" w:styleId="Footer">
    <w:name w:val="footer"/>
    <w:basedOn w:val="Normal"/>
    <w:link w:val="FooterChar"/>
    <w:uiPriority w:val="99"/>
    <w:unhideWhenUsed/>
    <w:rsid w:val="00D2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27A"/>
  </w:style>
  <w:style w:type="paragraph" w:styleId="BalloonText">
    <w:name w:val="Balloon Text"/>
    <w:basedOn w:val="Normal"/>
    <w:link w:val="BalloonTextChar"/>
    <w:uiPriority w:val="99"/>
    <w:semiHidden/>
    <w:unhideWhenUsed/>
    <w:rsid w:val="00D2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p.gov.p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ecp.gov.pk/" TargetMode="External"/><Relationship Id="rId4" Type="http://schemas.openxmlformats.org/officeDocument/2006/relationships/settings" Target="settings.xml"/><Relationship Id="rId9" Type="http://schemas.openxmlformats.org/officeDocument/2006/relationships/hyperlink" Target="mailto:enquiries@secp.gov.p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2019-10-29T13:27:00Z</dcterms:created>
  <dcterms:modified xsi:type="dcterms:W3CDTF">2019-10-29T13:27:00Z</dcterms:modified>
</cp:coreProperties>
</file>